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D5FE0" w14:textId="77777777" w:rsidR="00CA2580" w:rsidRPr="00A93D10" w:rsidRDefault="00E869A5">
      <w:pPr>
        <w:jc w:val="center"/>
        <w:rPr>
          <w:b/>
          <w:sz w:val="28"/>
        </w:rPr>
      </w:pPr>
      <w:r w:rsidRPr="00A93D10">
        <w:rPr>
          <w:rFonts w:hint="eastAsia"/>
          <w:b/>
          <w:sz w:val="28"/>
        </w:rPr>
        <w:t>中国科学院上海高等研究院</w:t>
      </w:r>
    </w:p>
    <w:p w14:paraId="622C771B" w14:textId="77777777" w:rsidR="00CA2580" w:rsidRPr="00A93D10" w:rsidRDefault="00E869A5">
      <w:pPr>
        <w:jc w:val="center"/>
        <w:rPr>
          <w:b/>
          <w:sz w:val="28"/>
        </w:rPr>
      </w:pPr>
      <w:r w:rsidRPr="00A93D10">
        <w:rPr>
          <w:rFonts w:hint="eastAsia"/>
          <w:b/>
          <w:sz w:val="28"/>
        </w:rPr>
        <w:t>2026-202</w:t>
      </w:r>
      <w:r w:rsidRPr="00A93D10">
        <w:rPr>
          <w:b/>
          <w:sz w:val="28"/>
        </w:rPr>
        <w:t>9</w:t>
      </w:r>
      <w:r w:rsidRPr="00A93D10">
        <w:rPr>
          <w:rFonts w:hint="eastAsia"/>
          <w:b/>
          <w:sz w:val="28"/>
        </w:rPr>
        <w:t>年度二类基本建设项目设计</w:t>
      </w:r>
    </w:p>
    <w:p w14:paraId="1E9E1781" w14:textId="77777777" w:rsidR="00CA2580" w:rsidRPr="00A93D10" w:rsidRDefault="00E869A5">
      <w:pPr>
        <w:jc w:val="center"/>
        <w:rPr>
          <w:b/>
          <w:sz w:val="28"/>
        </w:rPr>
      </w:pPr>
      <w:r w:rsidRPr="00A93D10">
        <w:rPr>
          <w:rFonts w:hint="eastAsia"/>
          <w:b/>
          <w:sz w:val="28"/>
        </w:rPr>
        <w:t>询价文件</w:t>
      </w:r>
    </w:p>
    <w:p w14:paraId="31F87F10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中国科学院上海高等研究院</w:t>
      </w:r>
      <w:r w:rsidRPr="00A93D10">
        <w:rPr>
          <w:rFonts w:hint="eastAsia"/>
          <w:sz w:val="24"/>
          <w:szCs w:val="24"/>
        </w:rPr>
        <w:t>2026-202</w:t>
      </w:r>
      <w:r w:rsidRPr="00A93D10">
        <w:rPr>
          <w:sz w:val="24"/>
          <w:szCs w:val="24"/>
        </w:rPr>
        <w:t>9</w:t>
      </w:r>
      <w:r w:rsidRPr="00A93D10">
        <w:rPr>
          <w:rFonts w:hint="eastAsia"/>
          <w:sz w:val="24"/>
          <w:szCs w:val="24"/>
        </w:rPr>
        <w:t>年度二类基本建设项目设计服务，</w:t>
      </w:r>
      <w:proofErr w:type="gramStart"/>
      <w:r w:rsidRPr="00A93D10">
        <w:rPr>
          <w:rFonts w:hint="eastAsia"/>
          <w:sz w:val="24"/>
          <w:szCs w:val="24"/>
        </w:rPr>
        <w:t>兹邀请贵</w:t>
      </w:r>
      <w:proofErr w:type="gramEnd"/>
      <w:r w:rsidRPr="00A93D10">
        <w:rPr>
          <w:rFonts w:hint="eastAsia"/>
          <w:sz w:val="24"/>
          <w:szCs w:val="24"/>
        </w:rPr>
        <w:t>单位前来参加报价。</w:t>
      </w:r>
    </w:p>
    <w:p w14:paraId="252F626E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项目名称</w:t>
      </w:r>
    </w:p>
    <w:p w14:paraId="25DFD2BB" w14:textId="77777777" w:rsidR="00CA2580" w:rsidRPr="00A93D10" w:rsidRDefault="00E869A5">
      <w:pPr>
        <w:tabs>
          <w:tab w:val="left" w:pos="1980"/>
          <w:tab w:val="left" w:pos="2268"/>
        </w:tabs>
        <w:spacing w:line="440" w:lineRule="exact"/>
        <w:ind w:firstLineChars="200" w:firstLine="480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中国科学院上海高等研究院</w:t>
      </w:r>
      <w:r w:rsidRPr="00A93D10">
        <w:rPr>
          <w:rFonts w:hint="eastAsia"/>
          <w:sz w:val="24"/>
          <w:szCs w:val="24"/>
        </w:rPr>
        <w:t>2026-202</w:t>
      </w:r>
      <w:r w:rsidRPr="00A93D10">
        <w:rPr>
          <w:sz w:val="24"/>
          <w:szCs w:val="24"/>
        </w:rPr>
        <w:t>9</w:t>
      </w:r>
      <w:r w:rsidRPr="00A93D10">
        <w:rPr>
          <w:rFonts w:hint="eastAsia"/>
          <w:sz w:val="24"/>
          <w:szCs w:val="24"/>
        </w:rPr>
        <w:t>年度二类基本建设项目设计服务</w:t>
      </w:r>
    </w:p>
    <w:p w14:paraId="16A40F53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项目概况</w:t>
      </w:r>
    </w:p>
    <w:p w14:paraId="2EECB041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建设范围和地点：中国科学院上海高等研究院</w:t>
      </w:r>
      <w:r w:rsidRPr="00A93D10">
        <w:rPr>
          <w:rFonts w:hint="eastAsia"/>
          <w:sz w:val="24"/>
          <w:szCs w:val="24"/>
        </w:rPr>
        <w:t>2026-202</w:t>
      </w:r>
      <w:r w:rsidRPr="00A93D10">
        <w:rPr>
          <w:sz w:val="24"/>
          <w:szCs w:val="24"/>
        </w:rPr>
        <w:t>9</w:t>
      </w:r>
      <w:r w:rsidRPr="00A93D10">
        <w:rPr>
          <w:rFonts w:hint="eastAsia"/>
          <w:sz w:val="24"/>
          <w:szCs w:val="24"/>
        </w:rPr>
        <w:t>年度二类基本建设项目，主要位于上海市浦东新区张江高科技园区。</w:t>
      </w:r>
    </w:p>
    <w:p w14:paraId="493283EE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采购</w:t>
      </w:r>
      <w:r w:rsidRPr="00A93D10">
        <w:rPr>
          <w:b/>
          <w:sz w:val="24"/>
          <w:szCs w:val="24"/>
        </w:rPr>
        <w:t>范围</w:t>
      </w:r>
      <w:r w:rsidRPr="00A93D10">
        <w:rPr>
          <w:rFonts w:hint="eastAsia"/>
          <w:b/>
          <w:sz w:val="24"/>
          <w:szCs w:val="24"/>
        </w:rPr>
        <w:t>和要求</w:t>
      </w:r>
    </w:p>
    <w:p w14:paraId="31FC24E4" w14:textId="7F1F3452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为</w:t>
      </w:r>
      <w:r w:rsidRPr="00A93D10">
        <w:rPr>
          <w:rFonts w:hint="eastAsia"/>
          <w:sz w:val="24"/>
          <w:szCs w:val="24"/>
        </w:rPr>
        <w:t>2026-202</w:t>
      </w:r>
      <w:r w:rsidRPr="00A93D10">
        <w:rPr>
          <w:sz w:val="24"/>
          <w:szCs w:val="24"/>
        </w:rPr>
        <w:t>9</w:t>
      </w:r>
      <w:r w:rsidRPr="00A93D10">
        <w:rPr>
          <w:rFonts w:hint="eastAsia"/>
          <w:sz w:val="24"/>
          <w:szCs w:val="24"/>
        </w:rPr>
        <w:t>年度二类基本建设项目提供设计服务及咨询工作，包括但不限于方案设计、初步设计及施工图设计。设计按照单个项目对应总投资进行限额设计，设计内容需满足功能要求，同时符合审图及验收要求。</w:t>
      </w:r>
    </w:p>
    <w:p w14:paraId="7CE4E68E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服务期限：</w:t>
      </w:r>
      <w:r w:rsidRPr="00A93D10">
        <w:rPr>
          <w:rFonts w:hint="eastAsia"/>
          <w:sz w:val="24"/>
          <w:szCs w:val="24"/>
        </w:rPr>
        <w:t>2</w:t>
      </w:r>
      <w:r w:rsidRPr="00A93D10">
        <w:rPr>
          <w:sz w:val="24"/>
          <w:szCs w:val="24"/>
        </w:rPr>
        <w:t>026</w:t>
      </w:r>
      <w:r w:rsidRPr="00A93D10">
        <w:rPr>
          <w:rFonts w:hint="eastAsia"/>
          <w:sz w:val="24"/>
          <w:szCs w:val="24"/>
        </w:rPr>
        <w:t>年</w:t>
      </w:r>
      <w:r w:rsidRPr="00A93D10">
        <w:rPr>
          <w:rFonts w:hint="eastAsia"/>
          <w:sz w:val="24"/>
          <w:szCs w:val="24"/>
        </w:rPr>
        <w:t>7</w:t>
      </w:r>
      <w:r w:rsidRPr="00A93D10">
        <w:rPr>
          <w:rFonts w:hint="eastAsia"/>
          <w:sz w:val="24"/>
          <w:szCs w:val="24"/>
        </w:rPr>
        <w:t>月至</w:t>
      </w:r>
      <w:r w:rsidRPr="00A93D10">
        <w:rPr>
          <w:rFonts w:hint="eastAsia"/>
          <w:sz w:val="24"/>
          <w:szCs w:val="24"/>
        </w:rPr>
        <w:t>2</w:t>
      </w:r>
      <w:r w:rsidRPr="00A93D10">
        <w:rPr>
          <w:sz w:val="24"/>
          <w:szCs w:val="24"/>
        </w:rPr>
        <w:t>029</w:t>
      </w:r>
      <w:r w:rsidRPr="00A93D10">
        <w:rPr>
          <w:rFonts w:hint="eastAsia"/>
          <w:sz w:val="24"/>
          <w:szCs w:val="24"/>
        </w:rPr>
        <w:t>年</w:t>
      </w:r>
      <w:r w:rsidRPr="00A93D10">
        <w:rPr>
          <w:rFonts w:hint="eastAsia"/>
          <w:sz w:val="24"/>
          <w:szCs w:val="24"/>
        </w:rPr>
        <w:t>7</w:t>
      </w:r>
      <w:r w:rsidRPr="00A93D10">
        <w:rPr>
          <w:rFonts w:hint="eastAsia"/>
          <w:sz w:val="24"/>
          <w:szCs w:val="24"/>
        </w:rPr>
        <w:t>月，三年整。</w:t>
      </w:r>
    </w:p>
    <w:p w14:paraId="3795C756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采购限额</w:t>
      </w:r>
    </w:p>
    <w:p w14:paraId="76AE42CA" w14:textId="3CD72514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响应单位可视自身情况报价并自报下浮率，设计费用不做调整。</w:t>
      </w:r>
    </w:p>
    <w:p w14:paraId="16453B51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响应</w:t>
      </w:r>
      <w:r w:rsidRPr="00A93D10">
        <w:rPr>
          <w:b/>
          <w:sz w:val="24"/>
          <w:szCs w:val="24"/>
        </w:rPr>
        <w:t>单位要求</w:t>
      </w:r>
    </w:p>
    <w:p w14:paraId="790156AF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sz w:val="24"/>
          <w:szCs w:val="24"/>
        </w:rPr>
        <w:t>1</w:t>
      </w:r>
      <w:r w:rsidRPr="00A93D10">
        <w:rPr>
          <w:rFonts w:hint="eastAsia"/>
          <w:sz w:val="24"/>
          <w:szCs w:val="24"/>
        </w:rPr>
        <w:t>）在中国境内注册并具有独立法人资格，独立承担民事责任和履行合同能力单位；</w:t>
      </w:r>
    </w:p>
    <w:p w14:paraId="4367639F" w14:textId="1A3E9BC9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2</w:t>
      </w:r>
      <w:r w:rsidRPr="00A93D10">
        <w:rPr>
          <w:rFonts w:hint="eastAsia"/>
          <w:sz w:val="24"/>
          <w:szCs w:val="24"/>
        </w:rPr>
        <w:t>）</w:t>
      </w:r>
      <w:r w:rsidRPr="00A93D10">
        <w:rPr>
          <w:rFonts w:ascii="宋体" w:eastAsia="宋体" w:hAnsi="宋体" w:cs="宋体"/>
          <w:sz w:val="24"/>
          <w:szCs w:val="24"/>
        </w:rPr>
        <w:t>应具备住房和城乡建设部核发的工程设计</w:t>
      </w:r>
      <w:r w:rsidRPr="00A93D10">
        <w:rPr>
          <w:rFonts w:ascii="宋体" w:eastAsia="宋体" w:hAnsi="宋体" w:cs="宋体" w:hint="eastAsia"/>
          <w:sz w:val="24"/>
          <w:szCs w:val="24"/>
        </w:rPr>
        <w:t>建筑行业（</w:t>
      </w:r>
      <w:r w:rsidRPr="00A93D10">
        <w:rPr>
          <w:rFonts w:ascii="宋体" w:eastAsia="宋体" w:hAnsi="宋体" w:cs="宋体"/>
          <w:sz w:val="24"/>
          <w:szCs w:val="24"/>
        </w:rPr>
        <w:t>建筑工程</w:t>
      </w:r>
      <w:r w:rsidRPr="00A93D10">
        <w:rPr>
          <w:rFonts w:ascii="宋体" w:eastAsia="宋体" w:hAnsi="宋体" w:cs="宋体" w:hint="eastAsia"/>
          <w:sz w:val="24"/>
          <w:szCs w:val="24"/>
        </w:rPr>
        <w:t>）</w:t>
      </w:r>
      <w:r w:rsidR="00F57E12">
        <w:rPr>
          <w:rFonts w:ascii="宋体" w:eastAsia="宋体" w:hAnsi="宋体" w:cs="宋体" w:hint="eastAsia"/>
          <w:sz w:val="24"/>
          <w:szCs w:val="24"/>
        </w:rPr>
        <w:t>乙</w:t>
      </w:r>
      <w:r w:rsidRPr="00A93D10">
        <w:rPr>
          <w:rFonts w:ascii="宋体" w:eastAsia="宋体" w:hAnsi="宋体" w:cs="宋体"/>
          <w:sz w:val="24"/>
          <w:szCs w:val="24"/>
        </w:rPr>
        <w:t>级</w:t>
      </w:r>
      <w:r w:rsidR="00F57E12">
        <w:rPr>
          <w:rFonts w:ascii="宋体" w:eastAsia="宋体" w:hAnsi="宋体" w:cs="宋体" w:hint="eastAsia"/>
          <w:sz w:val="24"/>
          <w:szCs w:val="24"/>
        </w:rPr>
        <w:t>或以上</w:t>
      </w:r>
      <w:r w:rsidRPr="00A93D10">
        <w:rPr>
          <w:rFonts w:ascii="宋体" w:eastAsia="宋体" w:hAnsi="宋体" w:cs="宋体"/>
          <w:sz w:val="24"/>
          <w:szCs w:val="24"/>
        </w:rPr>
        <w:t>资质</w:t>
      </w:r>
      <w:r w:rsidRPr="00A93D10">
        <w:rPr>
          <w:rFonts w:hint="eastAsia"/>
          <w:sz w:val="24"/>
          <w:szCs w:val="24"/>
        </w:rPr>
        <w:t>，并在人员组成结构等方面具有本项目建筑、暖通、给排水、智能化专业等相应的设计能力；</w:t>
      </w:r>
    </w:p>
    <w:p w14:paraId="7065A1E7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3</w:t>
      </w:r>
      <w:r w:rsidRPr="00A93D10">
        <w:rPr>
          <w:rFonts w:hint="eastAsia"/>
          <w:sz w:val="24"/>
          <w:szCs w:val="24"/>
        </w:rPr>
        <w:t>）响应人近三年（从</w:t>
      </w:r>
      <w:r w:rsidRPr="00A93D10">
        <w:rPr>
          <w:rFonts w:hint="eastAsia"/>
          <w:sz w:val="24"/>
          <w:szCs w:val="24"/>
        </w:rPr>
        <w:t>202</w:t>
      </w:r>
      <w:r w:rsidRPr="00A93D10">
        <w:rPr>
          <w:sz w:val="24"/>
          <w:szCs w:val="24"/>
        </w:rPr>
        <w:t>3</w:t>
      </w:r>
      <w:r w:rsidRPr="00A93D10">
        <w:rPr>
          <w:rFonts w:hint="eastAsia"/>
          <w:sz w:val="24"/>
          <w:szCs w:val="24"/>
        </w:rPr>
        <w:t>年</w:t>
      </w:r>
      <w:r w:rsidRPr="00A93D10">
        <w:rPr>
          <w:sz w:val="24"/>
          <w:szCs w:val="24"/>
        </w:rPr>
        <w:t>6</w:t>
      </w:r>
      <w:r w:rsidRPr="00A93D10">
        <w:rPr>
          <w:rFonts w:hint="eastAsia"/>
          <w:sz w:val="24"/>
          <w:szCs w:val="24"/>
        </w:rPr>
        <w:t>月</w:t>
      </w:r>
      <w:r w:rsidRPr="00A93D10">
        <w:rPr>
          <w:rFonts w:hint="eastAsia"/>
          <w:sz w:val="24"/>
          <w:szCs w:val="24"/>
        </w:rPr>
        <w:t>1</w:t>
      </w:r>
      <w:r w:rsidRPr="00A93D10">
        <w:rPr>
          <w:rFonts w:hint="eastAsia"/>
          <w:sz w:val="24"/>
          <w:szCs w:val="24"/>
        </w:rPr>
        <w:t>日至今）未被国家财政部指定的“信用中国”网站（网址为：</w:t>
      </w:r>
      <w:r w:rsidRPr="00A93D10">
        <w:rPr>
          <w:rFonts w:hint="eastAsia"/>
          <w:sz w:val="24"/>
          <w:szCs w:val="24"/>
        </w:rPr>
        <w:t>http://www.creditchina.gov.cn/</w:t>
      </w:r>
      <w:r w:rsidRPr="00A93D10">
        <w:rPr>
          <w:rFonts w:hint="eastAsia"/>
          <w:sz w:val="24"/>
          <w:szCs w:val="24"/>
        </w:rPr>
        <w:t>）列入失信被执行人、重大税收违法案件当事人名单或政府采购严重违法失信名单。</w:t>
      </w:r>
    </w:p>
    <w:p w14:paraId="0600FE47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时间安排</w:t>
      </w:r>
    </w:p>
    <w:p w14:paraId="6F2797DF" w14:textId="1C9B13A3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响应文件送达截止时间：</w:t>
      </w:r>
      <w:r w:rsidRPr="00A93D10">
        <w:rPr>
          <w:rFonts w:hint="eastAsia"/>
          <w:sz w:val="24"/>
          <w:szCs w:val="24"/>
        </w:rPr>
        <w:t>202</w:t>
      </w:r>
      <w:r w:rsidRPr="00A93D10">
        <w:rPr>
          <w:sz w:val="24"/>
          <w:szCs w:val="24"/>
        </w:rPr>
        <w:t>6</w:t>
      </w:r>
      <w:r w:rsidRPr="00A93D10">
        <w:rPr>
          <w:rFonts w:hint="eastAsia"/>
          <w:sz w:val="24"/>
          <w:szCs w:val="24"/>
        </w:rPr>
        <w:t>年</w:t>
      </w:r>
      <w:r w:rsidRPr="00A93D10">
        <w:rPr>
          <w:sz w:val="24"/>
          <w:szCs w:val="24"/>
        </w:rPr>
        <w:t>7</w:t>
      </w:r>
      <w:r w:rsidRPr="00A93D10">
        <w:rPr>
          <w:rFonts w:hint="eastAsia"/>
          <w:sz w:val="24"/>
          <w:szCs w:val="24"/>
        </w:rPr>
        <w:t>月</w:t>
      </w:r>
      <w:r w:rsidRPr="00A93D10">
        <w:rPr>
          <w:sz w:val="24"/>
          <w:szCs w:val="24"/>
        </w:rPr>
        <w:t>1</w:t>
      </w:r>
      <w:r w:rsidRPr="00A93D10">
        <w:rPr>
          <w:rFonts w:hint="eastAsia"/>
          <w:sz w:val="24"/>
          <w:szCs w:val="24"/>
        </w:rPr>
        <w:t>0</w:t>
      </w:r>
      <w:r w:rsidRPr="00A93D10">
        <w:rPr>
          <w:rFonts w:hint="eastAsia"/>
          <w:sz w:val="24"/>
          <w:szCs w:val="24"/>
        </w:rPr>
        <w:t>日</w:t>
      </w:r>
      <w:r w:rsidR="009A78FE">
        <w:rPr>
          <w:rFonts w:hint="eastAsia"/>
          <w:sz w:val="24"/>
          <w:szCs w:val="24"/>
        </w:rPr>
        <w:t>1</w:t>
      </w:r>
      <w:r w:rsidR="009A78FE">
        <w:rPr>
          <w:sz w:val="24"/>
          <w:szCs w:val="24"/>
        </w:rPr>
        <w:t>7</w:t>
      </w:r>
      <w:r w:rsidRPr="00A93D10">
        <w:rPr>
          <w:rFonts w:hint="eastAsia"/>
          <w:sz w:val="24"/>
          <w:szCs w:val="24"/>
        </w:rPr>
        <w:t>:00</w:t>
      </w:r>
      <w:r w:rsidRPr="00A93D10">
        <w:rPr>
          <w:rFonts w:hint="eastAsia"/>
          <w:sz w:val="24"/>
          <w:szCs w:val="24"/>
        </w:rPr>
        <w:t>前</w:t>
      </w:r>
      <w:bookmarkStart w:id="0" w:name="_GoBack"/>
      <w:bookmarkEnd w:id="0"/>
    </w:p>
    <w:p w14:paraId="5CFA3B0C" w14:textId="77777777" w:rsidR="00CA2580" w:rsidRPr="00A93D10" w:rsidRDefault="00E869A5">
      <w:pPr>
        <w:pStyle w:val="af3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响应文件要求</w:t>
      </w:r>
    </w:p>
    <w:p w14:paraId="4CA75DAE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lastRenderedPageBreak/>
        <w:t>（</w:t>
      </w:r>
      <w:r w:rsidRPr="00A93D10">
        <w:rPr>
          <w:rFonts w:hint="eastAsia"/>
          <w:sz w:val="24"/>
          <w:szCs w:val="24"/>
        </w:rPr>
        <w:t>1</w:t>
      </w:r>
      <w:r w:rsidRPr="00A93D10">
        <w:rPr>
          <w:rFonts w:hint="eastAsia"/>
          <w:sz w:val="24"/>
          <w:szCs w:val="24"/>
        </w:rPr>
        <w:t>）报价表（</w:t>
      </w:r>
      <w:r w:rsidRPr="00A93D10">
        <w:rPr>
          <w:rFonts w:ascii="宋体" w:hAnsi="宋体" w:cs="宋体" w:hint="eastAsia"/>
          <w:kern w:val="0"/>
          <w:sz w:val="24"/>
          <w:szCs w:val="20"/>
        </w:rPr>
        <w:t>所报价格应为税后价格</w:t>
      </w:r>
      <w:r w:rsidRPr="00A93D10">
        <w:rPr>
          <w:rFonts w:hint="eastAsia"/>
          <w:sz w:val="24"/>
          <w:szCs w:val="24"/>
        </w:rPr>
        <w:t>）；</w:t>
      </w:r>
      <w:r w:rsidRPr="00A93D10">
        <w:rPr>
          <w:sz w:val="24"/>
          <w:szCs w:val="24"/>
        </w:rPr>
        <w:t xml:space="preserve"> </w:t>
      </w:r>
    </w:p>
    <w:p w14:paraId="4BC1C5DC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2</w:t>
      </w:r>
      <w:r w:rsidRPr="00A93D10">
        <w:rPr>
          <w:rFonts w:hint="eastAsia"/>
          <w:sz w:val="24"/>
          <w:szCs w:val="24"/>
        </w:rPr>
        <w:t>）企业法人营业执照；</w:t>
      </w:r>
    </w:p>
    <w:p w14:paraId="63D0671B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3</w:t>
      </w:r>
      <w:r w:rsidRPr="00A93D10">
        <w:rPr>
          <w:rFonts w:hint="eastAsia"/>
          <w:sz w:val="24"/>
          <w:szCs w:val="24"/>
        </w:rPr>
        <w:t>）企业相关资质证明；</w:t>
      </w:r>
    </w:p>
    <w:p w14:paraId="4D105D03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4</w:t>
      </w:r>
      <w:r w:rsidRPr="00A93D10">
        <w:rPr>
          <w:rFonts w:hint="eastAsia"/>
          <w:sz w:val="24"/>
          <w:szCs w:val="24"/>
        </w:rPr>
        <w:t>）在“信用中国”网站无失信、行政处罚信息的证明；</w:t>
      </w:r>
    </w:p>
    <w:p w14:paraId="07CD0CA4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5</w:t>
      </w:r>
      <w:r w:rsidRPr="00A93D10">
        <w:rPr>
          <w:rFonts w:hint="eastAsia"/>
          <w:sz w:val="24"/>
          <w:szCs w:val="24"/>
        </w:rPr>
        <w:t>）主要人员安排及情况表；</w:t>
      </w:r>
    </w:p>
    <w:p w14:paraId="606AAD2B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6</w:t>
      </w:r>
      <w:r w:rsidRPr="00A93D10">
        <w:rPr>
          <w:rFonts w:hint="eastAsia"/>
          <w:sz w:val="24"/>
          <w:szCs w:val="24"/>
        </w:rPr>
        <w:t>）设计服务方案；</w:t>
      </w:r>
    </w:p>
    <w:p w14:paraId="7782304C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7</w:t>
      </w:r>
      <w:r w:rsidRPr="00A93D10">
        <w:rPr>
          <w:rFonts w:hint="eastAsia"/>
          <w:sz w:val="24"/>
          <w:szCs w:val="24"/>
        </w:rPr>
        <w:t>）法人授权书、项目授权代表及联系方式。</w:t>
      </w:r>
    </w:p>
    <w:p w14:paraId="34890EE9" w14:textId="77777777" w:rsidR="00CA2580" w:rsidRPr="00A93D10" w:rsidRDefault="00E869A5">
      <w:pPr>
        <w:pStyle w:val="af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报价文件要求</w:t>
      </w:r>
    </w:p>
    <w:p w14:paraId="090DDD56" w14:textId="77777777" w:rsidR="00CA2580" w:rsidRPr="00A93D10" w:rsidRDefault="00E869A5">
      <w:pPr>
        <w:widowControl/>
        <w:shd w:val="clear" w:color="auto" w:fill="FFFFFF"/>
        <w:adjustRightInd w:val="0"/>
        <w:snapToGrid w:val="0"/>
        <w:spacing w:line="360" w:lineRule="auto"/>
        <w:ind w:firstLine="480"/>
        <w:rPr>
          <w:sz w:val="24"/>
          <w:szCs w:val="24"/>
        </w:rPr>
      </w:pPr>
      <w:r w:rsidRPr="00A93D10">
        <w:rPr>
          <w:rFonts w:ascii="宋体" w:eastAsia="宋体" w:hAnsi="宋体" w:cs="宋体"/>
          <w:sz w:val="24"/>
          <w:szCs w:val="24"/>
        </w:rPr>
        <w:t>设计服务费参</w:t>
      </w:r>
      <w:r w:rsidRPr="00A93D10">
        <w:rPr>
          <w:rFonts w:ascii="宋体" w:eastAsia="宋体" w:hAnsi="宋体" w:cs="宋体" w:hint="eastAsia"/>
          <w:sz w:val="24"/>
          <w:szCs w:val="24"/>
        </w:rPr>
        <w:t>照</w:t>
      </w:r>
      <w:r w:rsidRPr="00A93D10">
        <w:rPr>
          <w:rFonts w:ascii="宋体" w:eastAsia="宋体" w:hAnsi="宋体" w:cs="宋体"/>
          <w:sz w:val="24"/>
          <w:szCs w:val="24"/>
        </w:rPr>
        <w:t>原国家计委、建设部《工程勘察设计收费管理规定》（计价格〔2002〕10 号）规定的收费标准计取，基准价按该文件计算，由供应商自报下浮率。</w:t>
      </w:r>
    </w:p>
    <w:tbl>
      <w:tblPr>
        <w:tblStyle w:val="af0"/>
        <w:tblpPr w:leftFromText="180" w:rightFromText="180" w:vertAnchor="text" w:horzAnchor="margin" w:tblpXSpec="center" w:tblpY="248"/>
        <w:tblOverlap w:val="never"/>
        <w:tblW w:w="8039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3151"/>
        <w:gridCol w:w="4046"/>
      </w:tblGrid>
      <w:tr w:rsidR="00CA2580" w:rsidRPr="00A93D10" w14:paraId="40EE69E6" w14:textId="77777777">
        <w:trPr>
          <w:trHeight w:val="511"/>
          <w:jc w:val="center"/>
        </w:trPr>
        <w:tc>
          <w:tcPr>
            <w:tcW w:w="842" w:type="dxa"/>
            <w:vAlign w:val="center"/>
          </w:tcPr>
          <w:p w14:paraId="73F0D3CD" w14:textId="77777777" w:rsidR="00CA2580" w:rsidRPr="00A93D10" w:rsidRDefault="00E869A5">
            <w:pPr>
              <w:jc w:val="center"/>
              <w:rPr>
                <w:b/>
                <w:bCs/>
                <w:szCs w:val="21"/>
              </w:rPr>
            </w:pPr>
            <w:r w:rsidRPr="00A93D10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3151" w:type="dxa"/>
            <w:vAlign w:val="center"/>
          </w:tcPr>
          <w:p w14:paraId="78FA5C13" w14:textId="77777777" w:rsidR="00CA2580" w:rsidRPr="00A93D10" w:rsidRDefault="00E869A5">
            <w:pPr>
              <w:jc w:val="center"/>
              <w:rPr>
                <w:b/>
                <w:bCs/>
                <w:szCs w:val="21"/>
              </w:rPr>
            </w:pPr>
            <w:r w:rsidRPr="00A93D10">
              <w:rPr>
                <w:rFonts w:hint="eastAsia"/>
                <w:b/>
                <w:bCs/>
                <w:szCs w:val="21"/>
              </w:rPr>
              <w:t>服务内容</w:t>
            </w:r>
          </w:p>
        </w:tc>
        <w:tc>
          <w:tcPr>
            <w:tcW w:w="4046" w:type="dxa"/>
            <w:vAlign w:val="center"/>
          </w:tcPr>
          <w:p w14:paraId="37AB47CE" w14:textId="77777777" w:rsidR="00CA2580" w:rsidRPr="00A93D10" w:rsidRDefault="00E869A5">
            <w:pPr>
              <w:jc w:val="center"/>
              <w:rPr>
                <w:b/>
                <w:bCs/>
                <w:szCs w:val="21"/>
              </w:rPr>
            </w:pPr>
            <w:r w:rsidRPr="00A93D10">
              <w:rPr>
                <w:rFonts w:hint="eastAsia"/>
                <w:b/>
                <w:bCs/>
                <w:szCs w:val="21"/>
              </w:rPr>
              <w:t>下浮率（</w:t>
            </w:r>
            <w:r w:rsidRPr="00A93D10">
              <w:rPr>
                <w:rFonts w:hint="eastAsia"/>
                <w:b/>
                <w:bCs/>
                <w:szCs w:val="21"/>
              </w:rPr>
              <w:t>%</w:t>
            </w:r>
            <w:r w:rsidRPr="00A93D10"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CA2580" w:rsidRPr="00A93D10" w14:paraId="36070301" w14:textId="77777777">
        <w:trPr>
          <w:trHeight w:val="891"/>
          <w:jc w:val="center"/>
        </w:trPr>
        <w:tc>
          <w:tcPr>
            <w:tcW w:w="842" w:type="dxa"/>
            <w:vAlign w:val="center"/>
          </w:tcPr>
          <w:p w14:paraId="15618203" w14:textId="77777777" w:rsidR="00CA2580" w:rsidRPr="00A93D10" w:rsidRDefault="00E869A5">
            <w:pPr>
              <w:jc w:val="center"/>
              <w:rPr>
                <w:szCs w:val="21"/>
              </w:rPr>
            </w:pPr>
            <w:r w:rsidRPr="00A93D10">
              <w:rPr>
                <w:rFonts w:hint="eastAsia"/>
                <w:szCs w:val="21"/>
              </w:rPr>
              <w:t>1</w:t>
            </w:r>
          </w:p>
        </w:tc>
        <w:tc>
          <w:tcPr>
            <w:tcW w:w="3151" w:type="dxa"/>
            <w:vAlign w:val="center"/>
          </w:tcPr>
          <w:p w14:paraId="58C55E51" w14:textId="77777777" w:rsidR="00CA2580" w:rsidRPr="00A93D10" w:rsidRDefault="00E869A5">
            <w:pPr>
              <w:jc w:val="center"/>
              <w:rPr>
                <w:szCs w:val="21"/>
              </w:rPr>
            </w:pPr>
            <w:r w:rsidRPr="00A93D10">
              <w:rPr>
                <w:rFonts w:hint="eastAsia"/>
                <w:szCs w:val="21"/>
              </w:rPr>
              <w:t>方案设计、初步设计及施工图设计</w:t>
            </w:r>
          </w:p>
        </w:tc>
        <w:tc>
          <w:tcPr>
            <w:tcW w:w="4046" w:type="dxa"/>
            <w:vAlign w:val="center"/>
          </w:tcPr>
          <w:p w14:paraId="26C0303B" w14:textId="77777777" w:rsidR="00CA2580" w:rsidRPr="00A93D10" w:rsidRDefault="00CA2580">
            <w:pPr>
              <w:jc w:val="center"/>
              <w:rPr>
                <w:szCs w:val="21"/>
              </w:rPr>
            </w:pPr>
          </w:p>
        </w:tc>
      </w:tr>
      <w:tr w:rsidR="00CA2580" w:rsidRPr="00A93D10" w14:paraId="0A59378B" w14:textId="77777777">
        <w:trPr>
          <w:trHeight w:val="362"/>
          <w:jc w:val="center"/>
        </w:trPr>
        <w:tc>
          <w:tcPr>
            <w:tcW w:w="8039" w:type="dxa"/>
            <w:gridSpan w:val="3"/>
            <w:vAlign w:val="center"/>
          </w:tcPr>
          <w:p w14:paraId="460B0059" w14:textId="77777777" w:rsidR="00CA2580" w:rsidRPr="00A93D10" w:rsidRDefault="00E869A5">
            <w:pPr>
              <w:widowControl/>
              <w:rPr>
                <w:szCs w:val="21"/>
              </w:rPr>
            </w:pPr>
            <w:r w:rsidRPr="00A93D10">
              <w:rPr>
                <w:rFonts w:hint="eastAsia"/>
                <w:szCs w:val="21"/>
              </w:rPr>
              <w:t>报价说明：此总价应包括设计、管理、保险、利润、税金、政策性文件规定及合同包含的所有风险、责任等投标人完成设计工作的所有费用。</w:t>
            </w:r>
          </w:p>
          <w:p w14:paraId="2F193F02" w14:textId="77777777" w:rsidR="00CA2580" w:rsidRPr="00A93D10" w:rsidRDefault="00CA2580">
            <w:pPr>
              <w:widowControl/>
              <w:jc w:val="center"/>
              <w:rPr>
                <w:szCs w:val="21"/>
              </w:rPr>
            </w:pPr>
          </w:p>
          <w:p w14:paraId="7693000C" w14:textId="77777777" w:rsidR="00CA2580" w:rsidRPr="00A93D10" w:rsidRDefault="00E869A5">
            <w:pPr>
              <w:widowControl/>
              <w:jc w:val="right"/>
              <w:rPr>
                <w:szCs w:val="21"/>
              </w:rPr>
            </w:pPr>
            <w:r w:rsidRPr="00A93D10">
              <w:rPr>
                <w:rFonts w:hint="eastAsia"/>
                <w:szCs w:val="21"/>
              </w:rPr>
              <w:t>投标人：</w:t>
            </w:r>
            <w:r w:rsidRPr="00A93D10">
              <w:rPr>
                <w:rFonts w:hint="eastAsia"/>
                <w:szCs w:val="21"/>
              </w:rPr>
              <w:t xml:space="preserve">   </w:t>
            </w:r>
            <w:r w:rsidRPr="00A93D10">
              <w:rPr>
                <w:rFonts w:hint="eastAsia"/>
                <w:szCs w:val="21"/>
              </w:rPr>
              <w:t>（盖章）</w:t>
            </w:r>
          </w:p>
          <w:p w14:paraId="0075C1C7" w14:textId="77777777" w:rsidR="00CA2580" w:rsidRPr="00A93D10" w:rsidRDefault="00CA2580">
            <w:pPr>
              <w:widowControl/>
              <w:jc w:val="right"/>
              <w:rPr>
                <w:szCs w:val="21"/>
              </w:rPr>
            </w:pPr>
          </w:p>
          <w:p w14:paraId="409794AF" w14:textId="77777777" w:rsidR="00CA2580" w:rsidRPr="00A93D10" w:rsidRDefault="00E869A5">
            <w:pPr>
              <w:widowControl/>
              <w:jc w:val="right"/>
              <w:rPr>
                <w:szCs w:val="21"/>
              </w:rPr>
            </w:pPr>
            <w:r w:rsidRPr="00A93D10">
              <w:rPr>
                <w:rFonts w:hint="eastAsia"/>
                <w:szCs w:val="21"/>
              </w:rPr>
              <w:t>法定代表人或其授权的代理人：</w:t>
            </w:r>
            <w:r w:rsidRPr="00A93D10">
              <w:rPr>
                <w:rFonts w:hint="eastAsia"/>
                <w:szCs w:val="21"/>
              </w:rPr>
              <w:t xml:space="preserve">  </w:t>
            </w:r>
            <w:r w:rsidRPr="00A93D10">
              <w:rPr>
                <w:rFonts w:hint="eastAsia"/>
                <w:szCs w:val="21"/>
              </w:rPr>
              <w:t>（签字或盖章）</w:t>
            </w:r>
          </w:p>
          <w:p w14:paraId="122FC98E" w14:textId="77777777" w:rsidR="00CA2580" w:rsidRPr="00A93D10" w:rsidRDefault="00CA2580">
            <w:pPr>
              <w:widowControl/>
              <w:ind w:firstLineChars="2100" w:firstLine="4410"/>
              <w:rPr>
                <w:szCs w:val="21"/>
              </w:rPr>
            </w:pPr>
          </w:p>
          <w:p w14:paraId="4E541292" w14:textId="77777777" w:rsidR="00CA2580" w:rsidRPr="00A93D10" w:rsidRDefault="00E869A5">
            <w:pPr>
              <w:widowControl/>
              <w:jc w:val="right"/>
              <w:rPr>
                <w:szCs w:val="21"/>
              </w:rPr>
            </w:pPr>
            <w:r w:rsidRPr="00A93D10">
              <w:rPr>
                <w:rFonts w:hint="eastAsia"/>
                <w:szCs w:val="21"/>
              </w:rPr>
              <w:t>年</w:t>
            </w:r>
            <w:r w:rsidRPr="00A93D10">
              <w:rPr>
                <w:rFonts w:hint="eastAsia"/>
                <w:szCs w:val="21"/>
              </w:rPr>
              <w:t xml:space="preserve">  </w:t>
            </w:r>
            <w:r w:rsidRPr="00A93D10">
              <w:rPr>
                <w:rFonts w:hint="eastAsia"/>
                <w:szCs w:val="21"/>
              </w:rPr>
              <w:t>月</w:t>
            </w:r>
            <w:r w:rsidRPr="00A93D10">
              <w:rPr>
                <w:rFonts w:hint="eastAsia"/>
                <w:szCs w:val="21"/>
              </w:rPr>
              <w:t xml:space="preserve">  </w:t>
            </w:r>
            <w:r w:rsidRPr="00A93D10">
              <w:rPr>
                <w:rFonts w:hint="eastAsia"/>
                <w:szCs w:val="21"/>
              </w:rPr>
              <w:t>日</w:t>
            </w:r>
          </w:p>
        </w:tc>
      </w:tr>
    </w:tbl>
    <w:p w14:paraId="79AF1DFE" w14:textId="77777777" w:rsidR="00CA2580" w:rsidRPr="00A93D10" w:rsidRDefault="00E869A5">
      <w:pPr>
        <w:pStyle w:val="af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评审办法</w:t>
      </w:r>
    </w:p>
    <w:p w14:paraId="4E1E97E7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本项目采用综合评分法，总分</w:t>
      </w:r>
      <w:r w:rsidRPr="00A93D10">
        <w:rPr>
          <w:rFonts w:hint="eastAsia"/>
          <w:sz w:val="24"/>
          <w:szCs w:val="24"/>
        </w:rPr>
        <w:t>100</w:t>
      </w:r>
      <w:r w:rsidRPr="00A93D10">
        <w:rPr>
          <w:rFonts w:hint="eastAsia"/>
          <w:sz w:val="24"/>
          <w:szCs w:val="24"/>
        </w:rPr>
        <w:t>分</w:t>
      </w:r>
    </w:p>
    <w:p w14:paraId="06B651DD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1</w:t>
      </w:r>
      <w:r w:rsidRPr="00A93D10">
        <w:rPr>
          <w:rFonts w:hint="eastAsia"/>
          <w:sz w:val="24"/>
          <w:szCs w:val="24"/>
        </w:rPr>
        <w:t>）</w:t>
      </w:r>
      <w:proofErr w:type="gramStart"/>
      <w:r w:rsidRPr="00A93D10">
        <w:rPr>
          <w:rFonts w:hint="eastAsia"/>
          <w:sz w:val="24"/>
          <w:szCs w:val="24"/>
        </w:rPr>
        <w:t>除项目</w:t>
      </w:r>
      <w:proofErr w:type="gramEnd"/>
      <w:r w:rsidRPr="00A93D10">
        <w:rPr>
          <w:rFonts w:hint="eastAsia"/>
          <w:sz w:val="24"/>
          <w:szCs w:val="24"/>
        </w:rPr>
        <w:t>报价外的响应内容最高总分</w:t>
      </w:r>
      <w:r w:rsidRPr="00A93D10">
        <w:rPr>
          <w:rFonts w:hint="eastAsia"/>
          <w:sz w:val="24"/>
          <w:szCs w:val="24"/>
        </w:rPr>
        <w:t>60</w:t>
      </w:r>
      <w:r w:rsidRPr="00A93D10">
        <w:rPr>
          <w:rFonts w:hint="eastAsia"/>
          <w:sz w:val="24"/>
          <w:szCs w:val="24"/>
        </w:rPr>
        <w:t>分，其中企业规模最高</w:t>
      </w:r>
      <w:r w:rsidRPr="00A93D10">
        <w:rPr>
          <w:rFonts w:hint="eastAsia"/>
          <w:sz w:val="24"/>
          <w:szCs w:val="24"/>
        </w:rPr>
        <w:t>10</w:t>
      </w:r>
      <w:r w:rsidRPr="00A93D10">
        <w:rPr>
          <w:rFonts w:hint="eastAsia"/>
          <w:sz w:val="24"/>
          <w:szCs w:val="24"/>
        </w:rPr>
        <w:t>分，资质最高</w:t>
      </w:r>
      <w:r w:rsidRPr="00A93D10">
        <w:rPr>
          <w:rFonts w:hint="eastAsia"/>
          <w:sz w:val="24"/>
          <w:szCs w:val="24"/>
        </w:rPr>
        <w:t>10</w:t>
      </w:r>
      <w:r w:rsidRPr="00A93D10">
        <w:rPr>
          <w:rFonts w:hint="eastAsia"/>
          <w:sz w:val="24"/>
          <w:szCs w:val="24"/>
        </w:rPr>
        <w:t>分，信用最高</w:t>
      </w:r>
      <w:r w:rsidRPr="00A93D10">
        <w:rPr>
          <w:rFonts w:hint="eastAsia"/>
          <w:sz w:val="24"/>
          <w:szCs w:val="24"/>
        </w:rPr>
        <w:t>10</w:t>
      </w:r>
      <w:r w:rsidRPr="00A93D10">
        <w:rPr>
          <w:rFonts w:hint="eastAsia"/>
          <w:sz w:val="24"/>
          <w:szCs w:val="24"/>
        </w:rPr>
        <w:t>分，人员安排最高</w:t>
      </w:r>
      <w:r w:rsidRPr="00A93D10">
        <w:rPr>
          <w:rFonts w:hint="eastAsia"/>
          <w:sz w:val="24"/>
          <w:szCs w:val="24"/>
        </w:rPr>
        <w:t>10</w:t>
      </w:r>
      <w:r w:rsidRPr="00A93D10">
        <w:rPr>
          <w:rFonts w:hint="eastAsia"/>
          <w:sz w:val="24"/>
          <w:szCs w:val="24"/>
        </w:rPr>
        <w:t>分，服务方案最高</w:t>
      </w:r>
      <w:r w:rsidRPr="00A93D10">
        <w:rPr>
          <w:rFonts w:hint="eastAsia"/>
          <w:sz w:val="24"/>
          <w:szCs w:val="24"/>
        </w:rPr>
        <w:t>20</w:t>
      </w:r>
      <w:r w:rsidRPr="00A93D10">
        <w:rPr>
          <w:rFonts w:hint="eastAsia"/>
          <w:sz w:val="24"/>
          <w:szCs w:val="24"/>
        </w:rPr>
        <w:t>分。</w:t>
      </w:r>
    </w:p>
    <w:p w14:paraId="1B6F2FB4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2</w:t>
      </w:r>
      <w:r w:rsidRPr="00A93D10">
        <w:rPr>
          <w:rFonts w:hint="eastAsia"/>
          <w:sz w:val="24"/>
          <w:szCs w:val="24"/>
        </w:rPr>
        <w:t>）项目报价最高总分</w:t>
      </w:r>
      <w:r w:rsidRPr="00A93D10">
        <w:rPr>
          <w:rFonts w:hint="eastAsia"/>
          <w:sz w:val="24"/>
          <w:szCs w:val="24"/>
        </w:rPr>
        <w:t>40</w:t>
      </w:r>
      <w:r w:rsidRPr="00A93D10">
        <w:rPr>
          <w:rFonts w:hint="eastAsia"/>
          <w:sz w:val="24"/>
          <w:szCs w:val="24"/>
        </w:rPr>
        <w:t>分，计算式为：（报价</w:t>
      </w:r>
      <w:proofErr w:type="gramStart"/>
      <w:r w:rsidRPr="00A93D10">
        <w:rPr>
          <w:rFonts w:hint="eastAsia"/>
          <w:sz w:val="24"/>
          <w:szCs w:val="24"/>
        </w:rPr>
        <w:t>下浮率</w:t>
      </w:r>
      <w:proofErr w:type="gramEnd"/>
      <w:r w:rsidRPr="00A93D10">
        <w:rPr>
          <w:sz w:val="24"/>
          <w:szCs w:val="24"/>
        </w:rPr>
        <w:t>/</w:t>
      </w:r>
      <w:r w:rsidRPr="00A93D10">
        <w:rPr>
          <w:rFonts w:hint="eastAsia"/>
          <w:sz w:val="24"/>
          <w:szCs w:val="24"/>
        </w:rPr>
        <w:t>最低下浮率）</w:t>
      </w:r>
      <w:r w:rsidRPr="00A93D10">
        <w:rPr>
          <w:sz w:val="24"/>
          <w:szCs w:val="24"/>
        </w:rPr>
        <w:t>*40</w:t>
      </w:r>
      <w:r w:rsidRPr="00A93D10">
        <w:rPr>
          <w:rFonts w:hint="eastAsia"/>
          <w:sz w:val="24"/>
          <w:szCs w:val="24"/>
        </w:rPr>
        <w:t>。</w:t>
      </w:r>
    </w:p>
    <w:p w14:paraId="1385CA82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（</w:t>
      </w:r>
      <w:r w:rsidRPr="00A93D10">
        <w:rPr>
          <w:rFonts w:hint="eastAsia"/>
          <w:sz w:val="24"/>
          <w:szCs w:val="24"/>
        </w:rPr>
        <w:t>3</w:t>
      </w:r>
      <w:r w:rsidRPr="00A93D10">
        <w:rPr>
          <w:rFonts w:hint="eastAsia"/>
          <w:sz w:val="24"/>
          <w:szCs w:val="24"/>
        </w:rPr>
        <w:t>）对进入报价文件合格的响应单位，按综合评分由高到低推荐五位成交候选人，最终成交</w:t>
      </w:r>
      <w:proofErr w:type="gramStart"/>
      <w:r w:rsidRPr="00A93D10">
        <w:rPr>
          <w:rFonts w:hint="eastAsia"/>
          <w:sz w:val="24"/>
          <w:szCs w:val="24"/>
        </w:rPr>
        <w:t>下浮率</w:t>
      </w:r>
      <w:proofErr w:type="gramEnd"/>
      <w:r w:rsidRPr="00A93D10">
        <w:rPr>
          <w:rFonts w:hint="eastAsia"/>
          <w:sz w:val="24"/>
          <w:szCs w:val="24"/>
        </w:rPr>
        <w:t>和单个项目最低收费标准按照成交候选人较低的报价进行合同签订。</w:t>
      </w:r>
    </w:p>
    <w:p w14:paraId="0F0DEECE" w14:textId="77777777" w:rsidR="00CA2580" w:rsidRPr="00A93D10" w:rsidRDefault="00E869A5">
      <w:pPr>
        <w:pStyle w:val="af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联系方式</w:t>
      </w:r>
    </w:p>
    <w:p w14:paraId="763B9BEC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lastRenderedPageBreak/>
        <w:t>地址：上海市浦东新区海科路</w:t>
      </w:r>
      <w:r w:rsidRPr="00A93D10">
        <w:rPr>
          <w:rFonts w:hint="eastAsia"/>
          <w:sz w:val="24"/>
          <w:szCs w:val="24"/>
        </w:rPr>
        <w:t>99</w:t>
      </w:r>
      <w:r w:rsidRPr="00A93D10">
        <w:rPr>
          <w:rFonts w:hint="eastAsia"/>
          <w:sz w:val="24"/>
          <w:szCs w:val="24"/>
        </w:rPr>
        <w:t>号综合楼一楼一站式服务中心</w:t>
      </w:r>
    </w:p>
    <w:p w14:paraId="67D9AAD6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联系人：汪老师</w:t>
      </w:r>
    </w:p>
    <w:p w14:paraId="247BC88F" w14:textId="77777777" w:rsidR="00CA2580" w:rsidRPr="00A93D10" w:rsidRDefault="00E869A5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联系电话：</w:t>
      </w:r>
      <w:r w:rsidRPr="00A93D10">
        <w:rPr>
          <w:rFonts w:hint="eastAsia"/>
          <w:sz w:val="24"/>
          <w:szCs w:val="24"/>
        </w:rPr>
        <w:t>021-20325077</w:t>
      </w:r>
    </w:p>
    <w:p w14:paraId="1C173729" w14:textId="77777777" w:rsidR="00CA2580" w:rsidRPr="00A93D10" w:rsidRDefault="00E869A5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 w:rsidRPr="00A93D10">
        <w:rPr>
          <w:rFonts w:hint="eastAsia"/>
          <w:b/>
          <w:sz w:val="24"/>
          <w:szCs w:val="24"/>
        </w:rPr>
        <w:t>上述资料加盖公章一式</w:t>
      </w:r>
      <w:r w:rsidRPr="00A93D10">
        <w:rPr>
          <w:rFonts w:hint="eastAsia"/>
          <w:b/>
          <w:sz w:val="24"/>
          <w:szCs w:val="24"/>
        </w:rPr>
        <w:t>2</w:t>
      </w:r>
      <w:r w:rsidRPr="00A93D10">
        <w:rPr>
          <w:rFonts w:hint="eastAsia"/>
          <w:b/>
          <w:sz w:val="24"/>
          <w:szCs w:val="24"/>
        </w:rPr>
        <w:t>份，密封送达。</w:t>
      </w:r>
    </w:p>
    <w:p w14:paraId="4C700C05" w14:textId="77777777" w:rsidR="00CA2580" w:rsidRPr="00A93D10" w:rsidRDefault="00CA2580">
      <w:pPr>
        <w:widowControl/>
        <w:spacing w:line="360" w:lineRule="auto"/>
        <w:jc w:val="left"/>
        <w:rPr>
          <w:sz w:val="24"/>
          <w:szCs w:val="24"/>
        </w:rPr>
      </w:pPr>
    </w:p>
    <w:p w14:paraId="0189F642" w14:textId="77777777" w:rsidR="00CA2580" w:rsidRPr="00A93D10" w:rsidRDefault="00E869A5"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  <w:r w:rsidRPr="00A93D10">
        <w:rPr>
          <w:rFonts w:ascii="宋体" w:hAnsi="宋体" w:cs="宋体" w:hint="eastAsia"/>
          <w:kern w:val="0"/>
          <w:sz w:val="24"/>
        </w:rPr>
        <w:t>中国科学院上海高研院</w:t>
      </w:r>
    </w:p>
    <w:p w14:paraId="24B8FEAC" w14:textId="77777777" w:rsidR="00CA2580" w:rsidRDefault="00E869A5">
      <w:pPr>
        <w:spacing w:line="360" w:lineRule="auto"/>
        <w:jc w:val="right"/>
        <w:rPr>
          <w:sz w:val="24"/>
          <w:szCs w:val="24"/>
        </w:rPr>
      </w:pPr>
      <w:r w:rsidRPr="00A93D10">
        <w:rPr>
          <w:rFonts w:hint="eastAsia"/>
          <w:sz w:val="24"/>
          <w:szCs w:val="24"/>
        </w:rPr>
        <w:t>202</w:t>
      </w:r>
      <w:r w:rsidRPr="00A93D10">
        <w:rPr>
          <w:sz w:val="24"/>
          <w:szCs w:val="24"/>
        </w:rPr>
        <w:t>6</w:t>
      </w:r>
      <w:r w:rsidRPr="00A93D10">
        <w:rPr>
          <w:rFonts w:hint="eastAsia"/>
          <w:sz w:val="24"/>
          <w:szCs w:val="24"/>
        </w:rPr>
        <w:t>年</w:t>
      </w:r>
      <w:r w:rsidRPr="00A93D10">
        <w:rPr>
          <w:sz w:val="24"/>
          <w:szCs w:val="24"/>
        </w:rPr>
        <w:t>7</w:t>
      </w:r>
      <w:r w:rsidRPr="00A93D10">
        <w:rPr>
          <w:rFonts w:hint="eastAsia"/>
          <w:sz w:val="24"/>
          <w:szCs w:val="24"/>
        </w:rPr>
        <w:t>月</w:t>
      </w:r>
    </w:p>
    <w:p w14:paraId="680EC4E8" w14:textId="77777777" w:rsidR="00CA2580" w:rsidRDefault="00CA2580">
      <w:pPr>
        <w:widowControl/>
        <w:jc w:val="left"/>
        <w:rPr>
          <w:sz w:val="24"/>
          <w:szCs w:val="24"/>
        </w:rPr>
      </w:pPr>
    </w:p>
    <w:sectPr w:rsidR="00CA25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B3823" w14:textId="77777777" w:rsidR="00114EA5" w:rsidRDefault="00114EA5">
      <w:r>
        <w:separator/>
      </w:r>
    </w:p>
  </w:endnote>
  <w:endnote w:type="continuationSeparator" w:id="0">
    <w:p w14:paraId="111C8C1B" w14:textId="77777777" w:rsidR="00114EA5" w:rsidRDefault="0011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93448"/>
    </w:sdtPr>
    <w:sdtEndPr/>
    <w:sdtContent>
      <w:sdt>
        <w:sdtPr>
          <w:id w:val="98381352"/>
        </w:sdtPr>
        <w:sdtEndPr/>
        <w:sdtContent>
          <w:p w14:paraId="4C314EE9" w14:textId="6C21BDB6" w:rsidR="00CA2580" w:rsidRDefault="00E869A5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8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8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AD1B89" w14:textId="77777777" w:rsidR="00CA2580" w:rsidRDefault="00CA25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1ACC9" w14:textId="77777777" w:rsidR="00114EA5" w:rsidRDefault="00114EA5">
      <w:r>
        <w:separator/>
      </w:r>
    </w:p>
  </w:footnote>
  <w:footnote w:type="continuationSeparator" w:id="0">
    <w:p w14:paraId="442F3518" w14:textId="77777777" w:rsidR="00114EA5" w:rsidRDefault="0011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15"/>
    <w:rsid w:val="00010A90"/>
    <w:rsid w:val="00013D8B"/>
    <w:rsid w:val="0002543E"/>
    <w:rsid w:val="0006331C"/>
    <w:rsid w:val="00066F24"/>
    <w:rsid w:val="00067660"/>
    <w:rsid w:val="00076FBC"/>
    <w:rsid w:val="00084C6F"/>
    <w:rsid w:val="000C027E"/>
    <w:rsid w:val="000C2471"/>
    <w:rsid w:val="000C5008"/>
    <w:rsid w:val="000C7EA8"/>
    <w:rsid w:val="000E4115"/>
    <w:rsid w:val="000E78A3"/>
    <w:rsid w:val="000E7EEC"/>
    <w:rsid w:val="000F760D"/>
    <w:rsid w:val="0011492D"/>
    <w:rsid w:val="00114EA5"/>
    <w:rsid w:val="0012167A"/>
    <w:rsid w:val="001479FA"/>
    <w:rsid w:val="001516A9"/>
    <w:rsid w:val="001637F4"/>
    <w:rsid w:val="001D799B"/>
    <w:rsid w:val="001F30CC"/>
    <w:rsid w:val="0020369B"/>
    <w:rsid w:val="00210E18"/>
    <w:rsid w:val="00211E81"/>
    <w:rsid w:val="00224B56"/>
    <w:rsid w:val="00227B4B"/>
    <w:rsid w:val="00230E42"/>
    <w:rsid w:val="00231377"/>
    <w:rsid w:val="002412BB"/>
    <w:rsid w:val="00261E40"/>
    <w:rsid w:val="00277839"/>
    <w:rsid w:val="00283085"/>
    <w:rsid w:val="0029067A"/>
    <w:rsid w:val="002A5BD4"/>
    <w:rsid w:val="002D06F9"/>
    <w:rsid w:val="002D3AB4"/>
    <w:rsid w:val="003211E8"/>
    <w:rsid w:val="00321488"/>
    <w:rsid w:val="00327B02"/>
    <w:rsid w:val="0033077A"/>
    <w:rsid w:val="003619F7"/>
    <w:rsid w:val="00370913"/>
    <w:rsid w:val="00377580"/>
    <w:rsid w:val="00382268"/>
    <w:rsid w:val="003872A5"/>
    <w:rsid w:val="00387FDB"/>
    <w:rsid w:val="003A5A5F"/>
    <w:rsid w:val="003B5D6B"/>
    <w:rsid w:val="003C73FC"/>
    <w:rsid w:val="003D4E52"/>
    <w:rsid w:val="003E22D9"/>
    <w:rsid w:val="003E4F4D"/>
    <w:rsid w:val="003F5D51"/>
    <w:rsid w:val="00412AE7"/>
    <w:rsid w:val="00417713"/>
    <w:rsid w:val="004215A7"/>
    <w:rsid w:val="00437255"/>
    <w:rsid w:val="00444226"/>
    <w:rsid w:val="00463669"/>
    <w:rsid w:val="00463670"/>
    <w:rsid w:val="00490371"/>
    <w:rsid w:val="004B1B25"/>
    <w:rsid w:val="004C109D"/>
    <w:rsid w:val="004D20FA"/>
    <w:rsid w:val="004E2588"/>
    <w:rsid w:val="00510138"/>
    <w:rsid w:val="00521CD4"/>
    <w:rsid w:val="005304C5"/>
    <w:rsid w:val="005313F0"/>
    <w:rsid w:val="0055083D"/>
    <w:rsid w:val="005534E2"/>
    <w:rsid w:val="00557BFC"/>
    <w:rsid w:val="005619E4"/>
    <w:rsid w:val="00566CD4"/>
    <w:rsid w:val="0057588D"/>
    <w:rsid w:val="00577D39"/>
    <w:rsid w:val="005A0CD1"/>
    <w:rsid w:val="005B5E20"/>
    <w:rsid w:val="005B6807"/>
    <w:rsid w:val="005E1581"/>
    <w:rsid w:val="005E2EBF"/>
    <w:rsid w:val="005F495D"/>
    <w:rsid w:val="00602A62"/>
    <w:rsid w:val="006058A9"/>
    <w:rsid w:val="00606BE4"/>
    <w:rsid w:val="00631C05"/>
    <w:rsid w:val="00675856"/>
    <w:rsid w:val="006A74AE"/>
    <w:rsid w:val="006B5B14"/>
    <w:rsid w:val="006D1507"/>
    <w:rsid w:val="006D284A"/>
    <w:rsid w:val="006E37D6"/>
    <w:rsid w:val="006F0B38"/>
    <w:rsid w:val="006F370C"/>
    <w:rsid w:val="00702517"/>
    <w:rsid w:val="00736CB5"/>
    <w:rsid w:val="007402FE"/>
    <w:rsid w:val="007474AF"/>
    <w:rsid w:val="007556B0"/>
    <w:rsid w:val="00761660"/>
    <w:rsid w:val="00761771"/>
    <w:rsid w:val="00781992"/>
    <w:rsid w:val="007853D0"/>
    <w:rsid w:val="0078683B"/>
    <w:rsid w:val="00792591"/>
    <w:rsid w:val="00793962"/>
    <w:rsid w:val="007A2EB8"/>
    <w:rsid w:val="007A5356"/>
    <w:rsid w:val="007C0899"/>
    <w:rsid w:val="007C659C"/>
    <w:rsid w:val="007D0902"/>
    <w:rsid w:val="007E03DB"/>
    <w:rsid w:val="007F23C2"/>
    <w:rsid w:val="00800B00"/>
    <w:rsid w:val="00804A2E"/>
    <w:rsid w:val="0081022C"/>
    <w:rsid w:val="00816B56"/>
    <w:rsid w:val="00832A2C"/>
    <w:rsid w:val="00854BFE"/>
    <w:rsid w:val="0085513B"/>
    <w:rsid w:val="0087014F"/>
    <w:rsid w:val="0087172C"/>
    <w:rsid w:val="00872C8D"/>
    <w:rsid w:val="008A40A0"/>
    <w:rsid w:val="008A48BF"/>
    <w:rsid w:val="008A740B"/>
    <w:rsid w:val="008B3173"/>
    <w:rsid w:val="008D157A"/>
    <w:rsid w:val="008E3522"/>
    <w:rsid w:val="008E6131"/>
    <w:rsid w:val="008F1E8F"/>
    <w:rsid w:val="008F1FCC"/>
    <w:rsid w:val="00900FBC"/>
    <w:rsid w:val="00904F48"/>
    <w:rsid w:val="009065CD"/>
    <w:rsid w:val="0091267D"/>
    <w:rsid w:val="009139CD"/>
    <w:rsid w:val="00940DB5"/>
    <w:rsid w:val="0094300A"/>
    <w:rsid w:val="0095182D"/>
    <w:rsid w:val="00971A2F"/>
    <w:rsid w:val="0097326D"/>
    <w:rsid w:val="00993F23"/>
    <w:rsid w:val="00996D21"/>
    <w:rsid w:val="009A0B19"/>
    <w:rsid w:val="009A2B52"/>
    <w:rsid w:val="009A59F9"/>
    <w:rsid w:val="009A78FE"/>
    <w:rsid w:val="009C11FA"/>
    <w:rsid w:val="009C32B4"/>
    <w:rsid w:val="009C33DE"/>
    <w:rsid w:val="009C6028"/>
    <w:rsid w:val="009E5F85"/>
    <w:rsid w:val="00A10B66"/>
    <w:rsid w:val="00A32A2C"/>
    <w:rsid w:val="00A46A6E"/>
    <w:rsid w:val="00A701CA"/>
    <w:rsid w:val="00A77693"/>
    <w:rsid w:val="00A80474"/>
    <w:rsid w:val="00A92249"/>
    <w:rsid w:val="00A93D10"/>
    <w:rsid w:val="00A9402C"/>
    <w:rsid w:val="00AA655E"/>
    <w:rsid w:val="00AB54D6"/>
    <w:rsid w:val="00AD359C"/>
    <w:rsid w:val="00AF0BAE"/>
    <w:rsid w:val="00AF4CC7"/>
    <w:rsid w:val="00B12B71"/>
    <w:rsid w:val="00B17F50"/>
    <w:rsid w:val="00B24C6C"/>
    <w:rsid w:val="00B54FCE"/>
    <w:rsid w:val="00B570D6"/>
    <w:rsid w:val="00B6114D"/>
    <w:rsid w:val="00B77AEB"/>
    <w:rsid w:val="00B82DF4"/>
    <w:rsid w:val="00BA6471"/>
    <w:rsid w:val="00BA6E1A"/>
    <w:rsid w:val="00BB63F9"/>
    <w:rsid w:val="00BE1179"/>
    <w:rsid w:val="00BE12DA"/>
    <w:rsid w:val="00BE34BF"/>
    <w:rsid w:val="00BE6EBD"/>
    <w:rsid w:val="00C06FCF"/>
    <w:rsid w:val="00C10053"/>
    <w:rsid w:val="00C10E4F"/>
    <w:rsid w:val="00C20A7D"/>
    <w:rsid w:val="00C21F1E"/>
    <w:rsid w:val="00C22EBE"/>
    <w:rsid w:val="00C264C5"/>
    <w:rsid w:val="00C27387"/>
    <w:rsid w:val="00C403B3"/>
    <w:rsid w:val="00C7676B"/>
    <w:rsid w:val="00C85EBF"/>
    <w:rsid w:val="00C95612"/>
    <w:rsid w:val="00CA12B8"/>
    <w:rsid w:val="00CA2580"/>
    <w:rsid w:val="00CB5DE7"/>
    <w:rsid w:val="00CB7515"/>
    <w:rsid w:val="00CD7C25"/>
    <w:rsid w:val="00CF4CA1"/>
    <w:rsid w:val="00D04478"/>
    <w:rsid w:val="00D13DDE"/>
    <w:rsid w:val="00D15E6D"/>
    <w:rsid w:val="00D24F78"/>
    <w:rsid w:val="00D25D94"/>
    <w:rsid w:val="00D2639A"/>
    <w:rsid w:val="00D274C8"/>
    <w:rsid w:val="00D36AC1"/>
    <w:rsid w:val="00D71BB1"/>
    <w:rsid w:val="00D846B4"/>
    <w:rsid w:val="00D847E5"/>
    <w:rsid w:val="00D849FC"/>
    <w:rsid w:val="00D94D5A"/>
    <w:rsid w:val="00DA4682"/>
    <w:rsid w:val="00DC2DDC"/>
    <w:rsid w:val="00DD3DE2"/>
    <w:rsid w:val="00DE2E7C"/>
    <w:rsid w:val="00E0615A"/>
    <w:rsid w:val="00E26BBC"/>
    <w:rsid w:val="00E40515"/>
    <w:rsid w:val="00E43917"/>
    <w:rsid w:val="00E869A5"/>
    <w:rsid w:val="00E9295F"/>
    <w:rsid w:val="00EA21DE"/>
    <w:rsid w:val="00ED0B39"/>
    <w:rsid w:val="00ED1A9D"/>
    <w:rsid w:val="00ED7F1C"/>
    <w:rsid w:val="00EF249E"/>
    <w:rsid w:val="00F02FA0"/>
    <w:rsid w:val="00F04A84"/>
    <w:rsid w:val="00F147C6"/>
    <w:rsid w:val="00F15A6D"/>
    <w:rsid w:val="00F2245A"/>
    <w:rsid w:val="00F24AA8"/>
    <w:rsid w:val="00F42ADD"/>
    <w:rsid w:val="00F54696"/>
    <w:rsid w:val="00F557D7"/>
    <w:rsid w:val="00F57E12"/>
    <w:rsid w:val="00F63604"/>
    <w:rsid w:val="00F7608B"/>
    <w:rsid w:val="00F867CB"/>
    <w:rsid w:val="00FA2CA7"/>
    <w:rsid w:val="1FFC7A36"/>
    <w:rsid w:val="307A4F22"/>
    <w:rsid w:val="34EB369F"/>
    <w:rsid w:val="3C2A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4E0D2"/>
  <w15:docId w15:val="{939DA3C7-3412-486B-B745-E7BB9358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6CBB-7CF5-47A0-A26A-7C36D388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NTKO</cp:lastModifiedBy>
  <cp:revision>20</cp:revision>
  <cp:lastPrinted>2023-11-15T01:33:00Z</cp:lastPrinted>
  <dcterms:created xsi:type="dcterms:W3CDTF">2026-05-19T05:55:00Z</dcterms:created>
  <dcterms:modified xsi:type="dcterms:W3CDTF">2026-07-08T02:29:00Z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eyJoZGlkIjoiNTVmMDEyODMyZTE3MmU3OWFhMThlMmFhZjNiOWRkZGYiLCJ1c2VySWQiOiI1MTQ0NDI2MTQifQ==</vt:lpwstr>
  </property>
  <property fmtid="{D5CDD505-2E9C-101B-9397-08002B2CF9AE}" pid="4" name="ICV">
    <vt:lpwstr>90A6594667F14BDDA9C0CA05673D7C23_13</vt:lpwstr>
  </property>
</Properties>
</file>